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sz w:val="28"/>
          <w:szCs w:val="28"/>
        </w:rPr>
        <w:t xml:space="preserve">SUBSCRIPTION AGREEMENT</w:t>
      </w:r>
    </w:p>
    <w:p>
      <w:pPr>
        <w:spacing w:after="240"/>
        <w:jc w:val="center"/>
      </w:pPr>
      <w:r>
        <w:rPr>
          <w:rFonts w:ascii="Times New Roman" w:cs="Times New Roman" w:eastAsia="Times New Roman" w:hAnsi="Times New Roman"/>
          <w:sz w:val="22"/>
          <w:szCs w:val="22"/>
        </w:rPr>
        <w:t xml:space="preserve">First Meter Partners Fund I, LP</w:t>
      </w:r>
    </w:p>
    <w:p>
      <w:pPr>
        <w:spacing w:after="240"/>
        <w:jc w:val="center"/>
      </w:pPr>
      <w:r>
        <w:rPr>
          <w:rFonts w:ascii="Times New Roman" w:cs="Times New Roman" w:eastAsia="Times New Roman" w:hAnsi="Times New Roman"/>
          <w:sz w:val="22"/>
          <w:szCs w:val="22"/>
        </w:rPr>
        <w:t xml:space="preserve">A Texas Limited Partnership</w:t>
      </w:r>
    </w:p>
    <w:p>
      <w:pPr>
        <w:spacing w:after="140" w:line="264"/>
        <w:jc w:val="both"/>
      </w:pPr>
      <w:r>
        <w:rPr>
          <w:rFonts w:ascii="Times New Roman" w:cs="Times New Roman" w:eastAsia="Times New Roman" w:hAnsi="Times New Roman"/>
          <w:sz w:val="22"/>
          <w:szCs w:val="22"/>
        </w:rPr>
        <w:t xml:space="preserve">THE INTERESTS HAVE NOT BEEN REGISTERED UNDER THE SECURITIES ACT OF 1933 OR ANY STATE SECURITIES LAW AND ARE OFFERED IN RELIANCE ON RULE 506(c) OF REGULATION D. THEY ARE SUBJECT TO RESTRICTIONS ON TRANSFER AND MAY NOT BE RESOLD EXCEPT AS PERMITTED BY THE PARTNERSHIP AGREEMENT AND APPLICABLE LAW.</w:t>
      </w:r>
    </w:p>
    <w:p>
      <w:pPr>
        <w:spacing w:after="140" w:line="264"/>
        <w:jc w:val="both"/>
      </w:pPr>
      <w:r>
        <w:rPr>
          <w:rFonts w:ascii="Times New Roman" w:cs="Times New Roman" w:eastAsia="Times New Roman" w:hAnsi="Times New Roman"/>
          <w:sz w:val="22"/>
          <w:szCs w:val="22"/>
        </w:rPr>
        <w:t xml:space="preserve">To: First Meter Partners GP, LLC, as general partner (the "</w:t>
      </w:r>
      <w:r>
        <w:rPr>
          <w:rFonts w:ascii="Times New Roman" w:cs="Times New Roman" w:eastAsia="Times New Roman" w:hAnsi="Times New Roman"/>
          <w:b/>
          <w:bCs/>
          <w:sz w:val="22"/>
          <w:szCs w:val="22"/>
        </w:rPr>
        <w:t xml:space="preserve">General Partner</w:t>
      </w:r>
      <w:r>
        <w:rPr>
          <w:rFonts w:ascii="Times New Roman" w:cs="Times New Roman" w:eastAsia="Times New Roman" w:hAnsi="Times New Roman"/>
          <w:sz w:val="22"/>
          <w:szCs w:val="22"/>
        </w:rPr>
        <w:t xml:space="preserve">") of First Meter Partners Fund I, LP (the "</w:t>
      </w:r>
      <w:r>
        <w:rPr>
          <w:rFonts w:ascii="Times New Roman" w:cs="Times New Roman" w:eastAsia="Times New Roman" w:hAnsi="Times New Roman"/>
          <w:b/>
          <w:bCs/>
          <w:sz w:val="22"/>
          <w:szCs w:val="22"/>
        </w:rPr>
        <w:t xml:space="preserve">Partnership</w:t>
      </w:r>
      <w:r>
        <w:rPr>
          <w:rFonts w:ascii="Times New Roman" w:cs="Times New Roman" w:eastAsia="Times New Roman" w:hAnsi="Times New Roman"/>
          <w:sz w:val="22"/>
          <w:szCs w:val="22"/>
        </w:rPr>
        <w:t xml:space="preserve">")</w:t>
      </w:r>
    </w:p>
    <w:p>
      <w:pPr>
        <w:spacing w:after="140" w:line="264"/>
        <w:jc w:val="both"/>
      </w:pPr>
      <w:r>
        <w:rPr>
          <w:rFonts w:ascii="Times New Roman" w:cs="Times New Roman" w:eastAsia="Times New Roman" w:hAnsi="Times New Roman"/>
          <w:sz w:val="22"/>
          <w:szCs w:val="22"/>
        </w:rPr>
        <w:t xml:space="preserve">The undersigned (the "</w:t>
      </w:r>
      <w:r>
        <w:rPr>
          <w:rFonts w:ascii="Times New Roman" w:cs="Times New Roman" w:eastAsia="Times New Roman" w:hAnsi="Times New Roman"/>
          <w:b/>
          <w:bCs/>
          <w:sz w:val="22"/>
          <w:szCs w:val="22"/>
        </w:rPr>
        <w:t xml:space="preserve">Subscriber</w:t>
      </w:r>
      <w:r>
        <w:rPr>
          <w:rFonts w:ascii="Times New Roman" w:cs="Times New Roman" w:eastAsia="Times New Roman" w:hAnsi="Times New Roman"/>
          <w:sz w:val="22"/>
          <w:szCs w:val="22"/>
        </w:rPr>
        <w:t xml:space="preserve">") agrees with the Partnership and the General Partner as follows. Capitalized terms not defined here have the meanings given in the Agreement of Limited Partnership of the Partnership, as amended (the "</w:t>
      </w:r>
      <w:r>
        <w:rPr>
          <w:rFonts w:ascii="Times New Roman" w:cs="Times New Roman" w:eastAsia="Times New Roman" w:hAnsi="Times New Roman"/>
          <w:b/>
          <w:bCs/>
          <w:sz w:val="22"/>
          <w:szCs w:val="22"/>
        </w:rPr>
        <w:t xml:space="preserve">Partnership Agreement</w:t>
      </w:r>
      <w:r>
        <w:rPr>
          <w:rFonts w:ascii="Times New Roman" w:cs="Times New Roman" w:eastAsia="Times New Roman" w:hAnsi="Times New Roman"/>
          <w:sz w:val="22"/>
          <w:szCs w:val="22"/>
        </w:rPr>
        <w:t xml:space="preserve">").</w:t>
      </w:r>
    </w:p>
    <w:p>
      <w:pPr>
        <w:keepNext/>
        <w:spacing w:after="120" w:before="240"/>
      </w:pPr>
      <w:r>
        <w:rPr>
          <w:rFonts w:ascii="Times New Roman" w:cs="Times New Roman" w:eastAsia="Times New Roman" w:hAnsi="Times New Roman"/>
          <w:b/>
          <w:bCs/>
          <w:sz w:val="22"/>
          <w:szCs w:val="22"/>
        </w:rPr>
        <w:t xml:space="preserve">1. SUBSCRIPTION</w:t>
      </w:r>
    </w:p>
    <w:p>
      <w:pPr>
        <w:tabs>
          <w:tab w:val="left" w:pos="720"/>
        </w:tabs>
        <w:spacing w:after="140" w:line="264"/>
        <w:ind w:left="720" w:hanging="720"/>
        <w:jc w:val="both"/>
      </w:pPr>
      <w:r>
        <w:rPr>
          <w:rFonts w:ascii="Times New Roman" w:cs="Times New Roman" w:eastAsia="Times New Roman" w:hAnsi="Times New Roman"/>
          <w:sz w:val="22"/>
          <w:szCs w:val="22"/>
        </w:rPr>
        <w:t xml:space="preserve">1.1	</w:t>
      </w:r>
      <w:r>
        <w:rPr>
          <w:rFonts w:ascii="Times New Roman" w:cs="Times New Roman" w:eastAsia="Times New Roman" w:hAnsi="Times New Roman"/>
          <w:b/>
          <w:bCs/>
          <w:sz w:val="22"/>
          <w:szCs w:val="22"/>
        </w:rPr>
        <w:t xml:space="preserve">Commitment.</w:t>
      </w:r>
      <w:r>
        <w:rPr>
          <w:rFonts w:ascii="Times New Roman" w:cs="Times New Roman" w:eastAsia="Times New Roman" w:hAnsi="Times New Roman"/>
          <w:sz w:val="22"/>
          <w:szCs w:val="22"/>
        </w:rPr>
        <w:t xml:space="preserve"> The Subscriber irrevocably subscribes for a limited partner interest in the Partnership and agrees to make Capital Contributions up to the Capital Commitment stated on the signature page, when called under the Partnership Agreement.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1.2	</w:t>
      </w:r>
      <w:r>
        <w:rPr>
          <w:rFonts w:ascii="Times New Roman" w:cs="Times New Roman" w:eastAsia="Times New Roman" w:hAnsi="Times New Roman"/>
          <w:b/>
          <w:bCs/>
          <w:sz w:val="22"/>
          <w:szCs w:val="22"/>
        </w:rPr>
        <w:t xml:space="preserve">Initial Capital Call.</w:t>
      </w:r>
      <w:r>
        <w:rPr>
          <w:rFonts w:ascii="Times New Roman" w:cs="Times New Roman" w:eastAsia="Times New Roman" w:hAnsi="Times New Roman"/>
          <w:sz w:val="22"/>
          <w:szCs w:val="22"/>
        </w:rPr>
        <w:t xml:space="preserve"> The Subscriber acknowledges that on or promptly after its admission the General Partner will call its pro rata share of the Initial Capital Call, which in aggregate for all Partners is not less than one hundred thousand dollars ($100,000) and is sized to the first twelve (12) month Budget, and that the Subscriber must fund that amount within ten (10) business days after the call. Later Capital Calls will be made as Sites are brought under contract and advanced, on not less than ten (10) business days' notice.</w:t>
      </w:r>
    </w:p>
    <w:p>
      <w:pPr>
        <w:tabs>
          <w:tab w:val="left" w:pos="720"/>
        </w:tabs>
        <w:spacing w:after="140" w:line="264"/>
        <w:ind w:left="720" w:hanging="720"/>
        <w:jc w:val="both"/>
      </w:pPr>
      <w:r>
        <w:rPr>
          <w:rFonts w:ascii="Times New Roman" w:cs="Times New Roman" w:eastAsia="Times New Roman" w:hAnsi="Times New Roman"/>
          <w:sz w:val="22"/>
          <w:szCs w:val="22"/>
        </w:rPr>
        <w:t xml:space="preserve">1.3	</w:t>
      </w:r>
      <w:r>
        <w:rPr>
          <w:rFonts w:ascii="Times New Roman" w:cs="Times New Roman" w:eastAsia="Times New Roman" w:hAnsi="Times New Roman"/>
          <w:b/>
          <w:bCs/>
          <w:sz w:val="22"/>
          <w:szCs w:val="22"/>
        </w:rPr>
        <w:t xml:space="preserve">Acceptance.</w:t>
      </w:r>
      <w:r>
        <w:rPr>
          <w:rFonts w:ascii="Times New Roman" w:cs="Times New Roman" w:eastAsia="Times New Roman" w:hAnsi="Times New Roman"/>
          <w:sz w:val="22"/>
          <w:szCs w:val="22"/>
        </w:rPr>
        <w:t xml:space="preserve"> This subscription is effective only when the General Partner accepts it by countersigning below. The General Partner may reject it in whole or in part for any reason. On acceptance, the Subscriber is admitted as a Limited Partner and is bound by the Partnership Agreement as if it had signed it, and this signature page is a counterpart signature page to the Partnership Agreement.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1.4	</w:t>
      </w:r>
      <w:r>
        <w:rPr>
          <w:rFonts w:ascii="Times New Roman" w:cs="Times New Roman" w:eastAsia="Times New Roman" w:hAnsi="Times New Roman"/>
          <w:b/>
          <w:bCs/>
          <w:sz w:val="22"/>
          <w:szCs w:val="22"/>
        </w:rPr>
        <w:t xml:space="preserve">Fees.</w:t>
      </w:r>
      <w:r>
        <w:rPr>
          <w:rFonts w:ascii="Times New Roman" w:cs="Times New Roman" w:eastAsia="Times New Roman" w:hAnsi="Times New Roman"/>
          <w:sz w:val="22"/>
          <w:szCs w:val="22"/>
        </w:rPr>
        <w:t xml:space="preserve"> The Subscriber acknowledges that the Partnership pays the General Partner a monthly Management Fee equal to the greater of seven thousand five hundred dollars ($7,500) and one-twelfth of two percent (2%) of Capital Commitments (after the Commitment Period, of capital invested in unsold Sites), from the Initial Closing Date until dissolution, borne by all Partners pro rata, and that the General Partner receives a Carried Interest under Section 5.3 of the Partnership Agreement after the Limited Partners receive their Capital Contributions and an eight percent (8%) Preferred Return, and that the Partnership pays the Affiliated Developer, an Affiliate of the General Partner controlled by the Key Person, a Development Fee of fifty thousand dollars ($50,000) per Site, payable only on the disposition of that Site, under the Development Agreement described in Section 7.4 of the Partnership Agreement.</w:t>
      </w:r>
    </w:p>
    <w:p>
      <w:pPr>
        <w:keepNext/>
        <w:spacing w:after="120" w:before="240"/>
      </w:pPr>
      <w:r>
        <w:rPr>
          <w:rFonts w:ascii="Times New Roman" w:cs="Times New Roman" w:eastAsia="Times New Roman" w:hAnsi="Times New Roman"/>
          <w:b/>
          <w:bCs/>
          <w:sz w:val="22"/>
          <w:szCs w:val="22"/>
        </w:rPr>
        <w:t xml:space="preserve">2. REPRESENTATIONS AND WARRANTIES OF THE SUBSCRIBER</w:t>
      </w:r>
    </w:p>
    <w:p>
      <w:pPr>
        <w:spacing w:after="140" w:line="264"/>
        <w:jc w:val="both"/>
      </w:pPr>
      <w:r>
        <w:rPr>
          <w:rFonts w:ascii="Times New Roman" w:cs="Times New Roman" w:eastAsia="Times New Roman" w:hAnsi="Times New Roman"/>
          <w:sz w:val="22"/>
          <w:szCs w:val="22"/>
        </w:rPr>
        <w:t xml:space="preserve">The Subscriber represents and warrants to the Partnership and the General Partner, as of the date it signs and as of each date it makes a Capital Contribution, that:</w:t>
      </w:r>
    </w:p>
    <w:p>
      <w:pPr>
        <w:tabs>
          <w:tab w:val="left" w:pos="720"/>
        </w:tabs>
        <w:spacing w:after="140" w:line="264"/>
        <w:ind w:left="720" w:hanging="720"/>
        <w:jc w:val="both"/>
      </w:pPr>
      <w:r>
        <w:rPr>
          <w:rFonts w:ascii="Times New Roman" w:cs="Times New Roman" w:eastAsia="Times New Roman" w:hAnsi="Times New Roman"/>
          <w:sz w:val="22"/>
          <w:szCs w:val="22"/>
        </w:rPr>
        <w:t xml:space="preserve">2.1	</w:t>
      </w:r>
      <w:r>
        <w:rPr>
          <w:rFonts w:ascii="Times New Roman" w:cs="Times New Roman" w:eastAsia="Times New Roman" w:hAnsi="Times New Roman"/>
          <w:b/>
          <w:bCs/>
          <w:sz w:val="22"/>
          <w:szCs w:val="22"/>
        </w:rPr>
        <w:t xml:space="preserve">Accredited investor.</w:t>
      </w:r>
      <w:r>
        <w:rPr>
          <w:rFonts w:ascii="Times New Roman" w:cs="Times New Roman" w:eastAsia="Times New Roman" w:hAnsi="Times New Roman"/>
          <w:sz w:val="22"/>
          <w:szCs w:val="22"/>
        </w:rPr>
        <w:t xml:space="preserve"> The Subscriber is an "accredited investor" as defined in Rule 501(a) of Regulation D, on the basis indicated in the Investor Questionnaire attached as Exhibit A.</w:t>
      </w:r>
    </w:p>
    <w:p>
      <w:pPr>
        <w:tabs>
          <w:tab w:val="left" w:pos="720"/>
        </w:tabs>
        <w:spacing w:after="140" w:line="264"/>
        <w:ind w:left="720" w:hanging="720"/>
        <w:jc w:val="both"/>
      </w:pPr>
      <w:r>
        <w:rPr>
          <w:rFonts w:ascii="Times New Roman" w:cs="Times New Roman" w:eastAsia="Times New Roman" w:hAnsi="Times New Roman"/>
          <w:sz w:val="22"/>
          <w:szCs w:val="22"/>
        </w:rPr>
        <w:t xml:space="preserve">2.2	</w:t>
      </w:r>
      <w:r>
        <w:rPr>
          <w:rFonts w:ascii="Times New Roman" w:cs="Times New Roman" w:eastAsia="Times New Roman" w:hAnsi="Times New Roman"/>
          <w:b/>
          <w:bCs/>
          <w:sz w:val="22"/>
          <w:szCs w:val="22"/>
        </w:rPr>
        <w:t xml:space="preserve">Verification.</w:t>
      </w:r>
      <w:r>
        <w:rPr>
          <w:rFonts w:ascii="Times New Roman" w:cs="Times New Roman" w:eastAsia="Times New Roman" w:hAnsi="Times New Roman"/>
          <w:sz w:val="22"/>
          <w:szCs w:val="22"/>
        </w:rPr>
        <w:t xml:space="preserve"> The Subscriber will provide, before acceptance, the evidence the General Partner reasonably requires to verify its accredited investor status under Rule 506(c)(2)(ii), which may be (a) a written confirmation from a registered broker-dealer, SEC-registered investment adviser, licensed attorney or certified public accountant dated within the prior ninety (90) days, in the form of Exhibit B, or (b) tax returns, bank or brokerage statements, credit reports or other documents the General Partner accepts. The Subscriber consents to the General Partner relying on and retaining that evidence.</w:t>
      </w:r>
    </w:p>
    <w:p>
      <w:pPr>
        <w:tabs>
          <w:tab w:val="left" w:pos="720"/>
        </w:tabs>
        <w:spacing w:after="140" w:line="264"/>
        <w:ind w:left="720" w:hanging="720"/>
        <w:jc w:val="both"/>
      </w:pPr>
      <w:r>
        <w:rPr>
          <w:rFonts w:ascii="Times New Roman" w:cs="Times New Roman" w:eastAsia="Times New Roman" w:hAnsi="Times New Roman"/>
          <w:sz w:val="22"/>
          <w:szCs w:val="22"/>
        </w:rPr>
        <w:t xml:space="preserve">2.3	</w:t>
      </w:r>
      <w:r>
        <w:rPr>
          <w:rFonts w:ascii="Times New Roman" w:cs="Times New Roman" w:eastAsia="Times New Roman" w:hAnsi="Times New Roman"/>
          <w:b/>
          <w:bCs/>
          <w:sz w:val="22"/>
          <w:szCs w:val="22"/>
        </w:rPr>
        <w:t xml:space="preserve">Authority.</w:t>
      </w:r>
      <w:r>
        <w:rPr>
          <w:rFonts w:ascii="Times New Roman" w:cs="Times New Roman" w:eastAsia="Times New Roman" w:hAnsi="Times New Roman"/>
          <w:sz w:val="22"/>
          <w:szCs w:val="22"/>
        </w:rPr>
        <w:t xml:space="preserve"> The Subscriber has full power and authority to sign and perform this Subscription Agreement and the Partnership Agreement, and each is its valid and binding obligation. If the Subscriber is an entity, it was not formed for the purpose of investing in the Partnership, unless each of its equity owners is an accredited investor.</w:t>
      </w:r>
    </w:p>
    <w:p>
      <w:pPr>
        <w:tabs>
          <w:tab w:val="left" w:pos="720"/>
        </w:tabs>
        <w:spacing w:after="140" w:line="264"/>
        <w:ind w:left="720" w:hanging="720"/>
        <w:jc w:val="both"/>
      </w:pPr>
      <w:r>
        <w:rPr>
          <w:rFonts w:ascii="Times New Roman" w:cs="Times New Roman" w:eastAsia="Times New Roman" w:hAnsi="Times New Roman"/>
          <w:sz w:val="22"/>
          <w:szCs w:val="22"/>
        </w:rPr>
        <w:t xml:space="preserve">2.4	</w:t>
      </w:r>
      <w:r>
        <w:rPr>
          <w:rFonts w:ascii="Times New Roman" w:cs="Times New Roman" w:eastAsia="Times New Roman" w:hAnsi="Times New Roman"/>
          <w:b/>
          <w:bCs/>
          <w:sz w:val="22"/>
          <w:szCs w:val="22"/>
        </w:rPr>
        <w:t xml:space="preserve">Investment intent.</w:t>
      </w:r>
      <w:r>
        <w:rPr>
          <w:rFonts w:ascii="Times New Roman" w:cs="Times New Roman" w:eastAsia="Times New Roman" w:hAnsi="Times New Roman"/>
          <w:sz w:val="22"/>
          <w:szCs w:val="22"/>
        </w:rPr>
        <w:t xml:space="preserve"> The Subscriber is acquiring the interest for its own account, for investment, and not with a view to distribution. It understands that there is no market for the interest, that transfers require the General Partner's consent, and that it must bear the economic risk of the investment for an indefinite period.</w:t>
      </w:r>
    </w:p>
    <w:p>
      <w:pPr>
        <w:tabs>
          <w:tab w:val="left" w:pos="720"/>
        </w:tabs>
        <w:spacing w:after="140" w:line="264"/>
        <w:ind w:left="720" w:hanging="720"/>
        <w:jc w:val="both"/>
      </w:pPr>
      <w:r>
        <w:rPr>
          <w:rFonts w:ascii="Times New Roman" w:cs="Times New Roman" w:eastAsia="Times New Roman" w:hAnsi="Times New Roman"/>
          <w:sz w:val="22"/>
          <w:szCs w:val="22"/>
        </w:rPr>
        <w:t xml:space="preserve">2.5	</w:t>
      </w:r>
      <w:r>
        <w:rPr>
          <w:rFonts w:ascii="Times New Roman" w:cs="Times New Roman" w:eastAsia="Times New Roman" w:hAnsi="Times New Roman"/>
          <w:b/>
          <w:bCs/>
          <w:sz w:val="22"/>
          <w:szCs w:val="22"/>
        </w:rPr>
        <w:t xml:space="preserve">Sophistication and access.</w:t>
      </w:r>
      <w:r>
        <w:rPr>
          <w:rFonts w:ascii="Times New Roman" w:cs="Times New Roman" w:eastAsia="Times New Roman" w:hAnsi="Times New Roman"/>
          <w:sz w:val="22"/>
          <w:szCs w:val="22"/>
        </w:rPr>
        <w:t xml:space="preserve"> The Subscriber has such knowledge and experience in financial and business matters that it can evaluate the merits and risks of the investment. It has received and read the Partnership Agreement and the offering materials, has had the opportunity to ask questions of and receive answers from the General Partner, and has obtained all information it considers necessary. It has relied on its own advisors for legal, tax and investment advice and not on the General Partner.</w:t>
      </w:r>
    </w:p>
    <w:p>
      <w:pPr>
        <w:tabs>
          <w:tab w:val="left" w:pos="720"/>
        </w:tabs>
        <w:spacing w:after="140" w:line="264"/>
        <w:ind w:left="720" w:hanging="720"/>
        <w:jc w:val="both"/>
      </w:pPr>
      <w:r>
        <w:rPr>
          <w:rFonts w:ascii="Times New Roman" w:cs="Times New Roman" w:eastAsia="Times New Roman" w:hAnsi="Times New Roman"/>
          <w:sz w:val="22"/>
          <w:szCs w:val="22"/>
        </w:rPr>
        <w:t xml:space="preserve">2.6	</w:t>
      </w:r>
      <w:r>
        <w:rPr>
          <w:rFonts w:ascii="Times New Roman" w:cs="Times New Roman" w:eastAsia="Times New Roman" w:hAnsi="Times New Roman"/>
          <w:b/>
          <w:bCs/>
          <w:sz w:val="22"/>
          <w:szCs w:val="22"/>
        </w:rPr>
        <w:t xml:space="preserve">Risks.</w:t>
      </w:r>
      <w:r>
        <w:rPr>
          <w:rFonts w:ascii="Times New Roman" w:cs="Times New Roman" w:eastAsia="Times New Roman" w:hAnsi="Times New Roman"/>
          <w:sz w:val="22"/>
          <w:szCs w:val="22"/>
        </w:rPr>
        <w:t xml:space="preserve"> The Subscriber understands that an investment in the Partnership is speculative and may result in the loss of all of its Capital Contributions, and specifically that:</w:t>
      </w:r>
    </w:p>
    <w:p>
      <w:pPr>
        <w:tabs>
          <w:tab w:val="left" w:pos="1440"/>
        </w:tabs>
        <w:spacing w:after="100" w:line="264"/>
        <w:ind w:left="1440" w:hanging="720"/>
        <w:jc w:val="both"/>
      </w:pPr>
      <w:r>
        <w:rPr>
          <w:rFonts w:ascii="Times New Roman" w:cs="Times New Roman" w:eastAsia="Times New Roman" w:hAnsi="Times New Roman"/>
          <w:sz w:val="22"/>
          <w:szCs w:val="22"/>
        </w:rPr>
        <w:t xml:space="preserve">(a)	the value of a Site depends on the utility confirming, building and delivering electric capacity, which is outside the Partnership's control and may be delayed, reduced, repriced or denied, including by changes in ERCOT, PUCT or utility rules for large loads;</w:t>
      </w:r>
    </w:p>
    <w:p>
      <w:pPr>
        <w:tabs>
          <w:tab w:val="left" w:pos="1440"/>
        </w:tabs>
        <w:spacing w:after="100" w:line="264"/>
        <w:ind w:left="1440" w:hanging="720"/>
        <w:jc w:val="both"/>
      </w:pPr>
      <w:r>
        <w:rPr>
          <w:rFonts w:ascii="Times New Roman" w:cs="Times New Roman" w:eastAsia="Times New Roman" w:hAnsi="Times New Roman"/>
          <w:sz w:val="22"/>
          <w:szCs w:val="22"/>
        </w:rPr>
        <w:t xml:space="preserve">(b)	the Partnership may pay option fees, deposits and study costs on Sites that are never acquired, and those amounts may be lost;</w:t>
      </w:r>
    </w:p>
    <w:p>
      <w:pPr>
        <w:tabs>
          <w:tab w:val="left" w:pos="1440"/>
        </w:tabs>
        <w:spacing w:after="100" w:line="264"/>
        <w:ind w:left="1440" w:hanging="720"/>
        <w:jc w:val="both"/>
      </w:pPr>
      <w:r>
        <w:rPr>
          <w:rFonts w:ascii="Times New Roman" w:cs="Times New Roman" w:eastAsia="Times New Roman" w:hAnsi="Times New Roman"/>
          <w:sz w:val="22"/>
          <w:szCs w:val="22"/>
        </w:rPr>
        <w:t xml:space="preserve">(c)	target prices per megawatt, timelines and returns in the offering materials are illustrative estimates, not projections or promises;</w:t>
      </w:r>
    </w:p>
    <w:p>
      <w:pPr>
        <w:tabs>
          <w:tab w:val="left" w:pos="1440"/>
        </w:tabs>
        <w:spacing w:after="100" w:line="264"/>
        <w:ind w:left="1440" w:hanging="720"/>
        <w:jc w:val="both"/>
      </w:pPr>
      <w:r>
        <w:rPr>
          <w:rFonts w:ascii="Times New Roman" w:cs="Times New Roman" w:eastAsia="Times New Roman" w:hAnsi="Times New Roman"/>
          <w:sz w:val="22"/>
          <w:szCs w:val="22"/>
        </w:rPr>
        <w:t xml:space="preserve">(d)	the Management Fee has a minimum of $7,500 per month, which is a higher percentage of a smaller Partnership, and is payable whether or not the Partnership makes a profit, and reduces the amount available for distribution;</w:t>
      </w:r>
    </w:p>
    <w:p>
      <w:pPr>
        <w:tabs>
          <w:tab w:val="left" w:pos="1440"/>
        </w:tabs>
        <w:spacing w:after="100" w:line="264"/>
        <w:ind w:left="1440" w:hanging="720"/>
        <w:jc w:val="both"/>
      </w:pPr>
      <w:r>
        <w:rPr>
          <w:rFonts w:ascii="Times New Roman" w:cs="Times New Roman" w:eastAsia="Times New Roman" w:hAnsi="Times New Roman"/>
          <w:sz w:val="22"/>
          <w:szCs w:val="22"/>
        </w:rPr>
        <w:t xml:space="preserve">(e)	the General Partner, the Key Person and the Affiliated Developer have conflicts of interest, including that the Affiliated Developer has existing co-investors with rights to participate in some sites it develops, and including in sourcing and allocating sites, providing paid services to the Partnership, and developing sites for their own account and for others;</w:t>
      </w:r>
    </w:p>
    <w:p>
      <w:pPr>
        <w:tabs>
          <w:tab w:val="left" w:pos="1440"/>
        </w:tabs>
        <w:spacing w:after="100" w:line="264"/>
        <w:ind w:left="1440" w:hanging="720"/>
        <w:jc w:val="both"/>
      </w:pPr>
      <w:r>
        <w:rPr>
          <w:rFonts w:ascii="Times New Roman" w:cs="Times New Roman" w:eastAsia="Times New Roman" w:hAnsi="Times New Roman"/>
          <w:sz w:val="22"/>
          <w:szCs w:val="22"/>
        </w:rPr>
        <w:t xml:space="preserve">(f)	a Limited Partner that fails to fund a Capital Call is subject to severe remedies, including loss of fifty percent (50%) of its Capital Account;</w:t>
      </w:r>
    </w:p>
    <w:p>
      <w:pPr>
        <w:tabs>
          <w:tab w:val="left" w:pos="1440"/>
        </w:tabs>
        <w:spacing w:after="100" w:line="264"/>
        <w:ind w:left="1440" w:hanging="720"/>
        <w:jc w:val="both"/>
      </w:pPr>
      <w:r>
        <w:rPr>
          <w:rFonts w:ascii="Times New Roman" w:cs="Times New Roman" w:eastAsia="Times New Roman" w:hAnsi="Times New Roman"/>
          <w:sz w:val="22"/>
          <w:szCs w:val="22"/>
        </w:rPr>
        <w:t xml:space="preserve">(g)	the Partnership has no operating history, and the Subscriber may be allocated taxable income without receiving a cash distribution; and</w:t>
      </w:r>
    </w:p>
    <w:p>
      <w:pPr>
        <w:tabs>
          <w:tab w:val="left" w:pos="1440"/>
        </w:tabs>
        <w:spacing w:after="100" w:line="264"/>
        <w:ind w:left="1440" w:hanging="720"/>
        <w:jc w:val="both"/>
      </w:pPr>
      <w:r>
        <w:rPr>
          <w:rFonts w:ascii="Times New Roman" w:cs="Times New Roman" w:eastAsia="Times New Roman" w:hAnsi="Times New Roman"/>
          <w:sz w:val="22"/>
          <w:szCs w:val="22"/>
        </w:rPr>
        <w:t xml:space="preserve">(h)	the interest is illiquid and the term of the Partnership may be extended.</w:t>
      </w:r>
    </w:p>
    <w:p>
      <w:pPr>
        <w:tabs>
          <w:tab w:val="left" w:pos="720"/>
        </w:tabs>
        <w:spacing w:after="140" w:line="264"/>
        <w:ind w:left="720" w:hanging="720"/>
        <w:jc w:val="both"/>
      </w:pPr>
      <w:r>
        <w:rPr>
          <w:rFonts w:ascii="Times New Roman" w:cs="Times New Roman" w:eastAsia="Times New Roman" w:hAnsi="Times New Roman"/>
          <w:sz w:val="22"/>
          <w:szCs w:val="22"/>
        </w:rPr>
        <w:t xml:space="preserve">2.7	</w:t>
      </w:r>
      <w:r>
        <w:rPr>
          <w:rFonts w:ascii="Times New Roman" w:cs="Times New Roman" w:eastAsia="Times New Roman" w:hAnsi="Times New Roman"/>
          <w:b/>
          <w:bCs/>
          <w:sz w:val="22"/>
          <w:szCs w:val="22"/>
        </w:rPr>
        <w:t xml:space="preserve">No general solicitation reliance.</w:t>
      </w:r>
      <w:r>
        <w:rPr>
          <w:rFonts w:ascii="Times New Roman" w:cs="Times New Roman" w:eastAsia="Times New Roman" w:hAnsi="Times New Roman"/>
          <w:sz w:val="22"/>
          <w:szCs w:val="22"/>
        </w:rPr>
        <w:t xml:space="preserve"> The Subscriber acknowledges that the Partnership may be offered by general solicitation, including on a public website, and that no statement on any website or in any presentation modifies the Partnership Agreement.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2.8	</w:t>
      </w:r>
      <w:r>
        <w:rPr>
          <w:rFonts w:ascii="Times New Roman" w:cs="Times New Roman" w:eastAsia="Times New Roman" w:hAnsi="Times New Roman"/>
          <w:b/>
          <w:bCs/>
          <w:sz w:val="22"/>
          <w:szCs w:val="22"/>
        </w:rPr>
        <w:t xml:space="preserve">Bad actor.</w:t>
      </w:r>
      <w:r>
        <w:rPr>
          <w:rFonts w:ascii="Times New Roman" w:cs="Times New Roman" w:eastAsia="Times New Roman" w:hAnsi="Times New Roman"/>
          <w:sz w:val="22"/>
          <w:szCs w:val="22"/>
        </w:rPr>
        <w:t xml:space="preserve"> Neither the Subscriber nor, if it is an entity, any of its beneficial owners of twenty percent (20%) or more is subject to any disqualifying event described in Rule 506(d)(1).</w:t>
      </w:r>
    </w:p>
    <w:p>
      <w:pPr>
        <w:tabs>
          <w:tab w:val="left" w:pos="720"/>
        </w:tabs>
        <w:spacing w:after="140" w:line="264"/>
        <w:ind w:left="720" w:hanging="720"/>
        <w:jc w:val="both"/>
      </w:pPr>
      <w:r>
        <w:rPr>
          <w:rFonts w:ascii="Times New Roman" w:cs="Times New Roman" w:eastAsia="Times New Roman" w:hAnsi="Times New Roman"/>
          <w:sz w:val="22"/>
          <w:szCs w:val="22"/>
        </w:rPr>
        <w:t xml:space="preserve">2.9	</w:t>
      </w:r>
      <w:r>
        <w:rPr>
          <w:rFonts w:ascii="Times New Roman" w:cs="Times New Roman" w:eastAsia="Times New Roman" w:hAnsi="Times New Roman"/>
          <w:b/>
          <w:bCs/>
          <w:sz w:val="22"/>
          <w:szCs w:val="22"/>
        </w:rPr>
        <w:t xml:space="preserve">Anti-money laundering and sanctions.</w:t>
      </w:r>
      <w:r>
        <w:rPr>
          <w:rFonts w:ascii="Times New Roman" w:cs="Times New Roman" w:eastAsia="Times New Roman" w:hAnsi="Times New Roman"/>
          <w:sz w:val="22"/>
          <w:szCs w:val="22"/>
        </w:rPr>
        <w:t xml:space="preserve"> The Subscriber's Capital Contributions are not derived from unlawful activity. Neither the Subscriber nor any of its beneficial owners is named on any list maintained by the Office of Foreign Assets Control or is otherwise a person with whom United States persons are prohibited from dealing. The Subscriber will provide any information the General Partner reasonably requests to comply with anti-money laundering and know-your-customer laws.</w:t>
      </w:r>
    </w:p>
    <w:p>
      <w:pPr>
        <w:tabs>
          <w:tab w:val="left" w:pos="720"/>
        </w:tabs>
        <w:spacing w:after="140" w:line="264"/>
        <w:ind w:left="720" w:hanging="720"/>
        <w:jc w:val="both"/>
      </w:pPr>
      <w:r>
        <w:rPr>
          <w:rFonts w:ascii="Times New Roman" w:cs="Times New Roman" w:eastAsia="Times New Roman" w:hAnsi="Times New Roman"/>
          <w:sz w:val="22"/>
          <w:szCs w:val="22"/>
        </w:rPr>
        <w:t xml:space="preserve">2.10	</w:t>
      </w:r>
      <w:r>
        <w:rPr>
          <w:rFonts w:ascii="Times New Roman" w:cs="Times New Roman" w:eastAsia="Times New Roman" w:hAnsi="Times New Roman"/>
          <w:b/>
          <w:bCs/>
          <w:sz w:val="22"/>
          <w:szCs w:val="22"/>
        </w:rPr>
        <w:t xml:space="preserve">ERISA.</w:t>
      </w:r>
      <w:r>
        <w:rPr>
          <w:rFonts w:ascii="Times New Roman" w:cs="Times New Roman" w:eastAsia="Times New Roman" w:hAnsi="Times New Roman"/>
          <w:sz w:val="22"/>
          <w:szCs w:val="22"/>
        </w:rPr>
        <w:t xml:space="preserve"> Unless the Subscriber indicates otherwise in Exhibit A, the Subscriber is not a "benefit plan investor" as defined in Section 3(42) of ERISA and is not using the assets of any such plan.</w:t>
      </w:r>
    </w:p>
    <w:p>
      <w:pPr>
        <w:tabs>
          <w:tab w:val="left" w:pos="720"/>
        </w:tabs>
        <w:spacing w:after="140" w:line="264"/>
        <w:ind w:left="720" w:hanging="720"/>
        <w:jc w:val="both"/>
      </w:pPr>
      <w:r>
        <w:rPr>
          <w:rFonts w:ascii="Times New Roman" w:cs="Times New Roman" w:eastAsia="Times New Roman" w:hAnsi="Times New Roman"/>
          <w:sz w:val="22"/>
          <w:szCs w:val="22"/>
        </w:rPr>
        <w:t xml:space="preserve">2.11	</w:t>
      </w:r>
      <w:r>
        <w:rPr>
          <w:rFonts w:ascii="Times New Roman" w:cs="Times New Roman" w:eastAsia="Times New Roman" w:hAnsi="Times New Roman"/>
          <w:b/>
          <w:bCs/>
          <w:sz w:val="22"/>
          <w:szCs w:val="22"/>
        </w:rPr>
        <w:t xml:space="preserve">Investment Company Act.</w:t>
      </w:r>
      <w:r>
        <w:rPr>
          <w:rFonts w:ascii="Times New Roman" w:cs="Times New Roman" w:eastAsia="Times New Roman" w:hAnsi="Times New Roman"/>
          <w:sz w:val="22"/>
          <w:szCs w:val="22"/>
        </w:rPr>
        <w:t xml:space="preserve"> If the Subscriber is an entity that would be excluded from the definition of an investment company only by Section 3(c)(1) or 3(c)(7) of the Investment Company Act of 1940, it has disclosed that fact in Exhibit A, and its investment in the Partnership does not exceed ten percent (10%) of its total assets.</w:t>
      </w:r>
    </w:p>
    <w:p>
      <w:pPr>
        <w:tabs>
          <w:tab w:val="left" w:pos="720"/>
        </w:tabs>
        <w:spacing w:after="140" w:line="264"/>
        <w:ind w:left="720" w:hanging="720"/>
        <w:jc w:val="both"/>
      </w:pPr>
      <w:r>
        <w:rPr>
          <w:rFonts w:ascii="Times New Roman" w:cs="Times New Roman" w:eastAsia="Times New Roman" w:hAnsi="Times New Roman"/>
          <w:sz w:val="22"/>
          <w:szCs w:val="22"/>
        </w:rPr>
        <w:t xml:space="preserve">2.12	</w:t>
      </w:r>
      <w:r>
        <w:rPr>
          <w:rFonts w:ascii="Times New Roman" w:cs="Times New Roman" w:eastAsia="Times New Roman" w:hAnsi="Times New Roman"/>
          <w:b/>
          <w:bCs/>
          <w:sz w:val="22"/>
          <w:szCs w:val="22"/>
        </w:rPr>
        <w:t xml:space="preserve">Tax status.</w:t>
      </w:r>
      <w:r>
        <w:rPr>
          <w:rFonts w:ascii="Times New Roman" w:cs="Times New Roman" w:eastAsia="Times New Roman" w:hAnsi="Times New Roman"/>
          <w:sz w:val="22"/>
          <w:szCs w:val="22"/>
        </w:rPr>
        <w:t xml:space="preserve"> The Subscriber has provided, or will provide before its first Capital Contribution, a properly completed IRS Form W-9 (or the applicable Form W-8), and the information in it is correct.</w:t>
      </w:r>
    </w:p>
    <w:p>
      <w:pPr>
        <w:tabs>
          <w:tab w:val="left" w:pos="720"/>
        </w:tabs>
        <w:spacing w:after="140" w:line="264"/>
        <w:ind w:left="720" w:hanging="720"/>
        <w:jc w:val="both"/>
      </w:pPr>
      <w:r>
        <w:rPr>
          <w:rFonts w:ascii="Times New Roman" w:cs="Times New Roman" w:eastAsia="Times New Roman" w:hAnsi="Times New Roman"/>
          <w:sz w:val="22"/>
          <w:szCs w:val="22"/>
        </w:rPr>
        <w:t xml:space="preserve">2.13	</w:t>
      </w:r>
      <w:r>
        <w:rPr>
          <w:rFonts w:ascii="Times New Roman" w:cs="Times New Roman" w:eastAsia="Times New Roman" w:hAnsi="Times New Roman"/>
          <w:b/>
          <w:bCs/>
          <w:sz w:val="22"/>
          <w:szCs w:val="22"/>
        </w:rPr>
        <w:t xml:space="preserve">Confidentiality and non-circumvention.</w:t>
      </w:r>
      <w:r>
        <w:rPr>
          <w:rFonts w:ascii="Times New Roman" w:cs="Times New Roman" w:eastAsia="Times New Roman" w:hAnsi="Times New Roman"/>
          <w:sz w:val="22"/>
          <w:szCs w:val="22"/>
        </w:rPr>
        <w:t xml:space="preserve"> The Subscriber has signed the Partnership's confidentiality and non-circumvention agreement, or signs it with this Subscription Agreement, and acknowledges that Section 10.3 of the Partnership Agreement applies to it.</w:t>
      </w:r>
    </w:p>
    <w:p>
      <w:pPr>
        <w:tabs>
          <w:tab w:val="left" w:pos="720"/>
        </w:tabs>
        <w:spacing w:after="140" w:line="264"/>
        <w:ind w:left="720" w:hanging="720"/>
        <w:jc w:val="both"/>
      </w:pPr>
      <w:r>
        <w:rPr>
          <w:rFonts w:ascii="Times New Roman" w:cs="Times New Roman" w:eastAsia="Times New Roman" w:hAnsi="Times New Roman"/>
          <w:sz w:val="22"/>
          <w:szCs w:val="22"/>
        </w:rPr>
        <w:t xml:space="preserve">2.14	</w:t>
      </w:r>
      <w:r>
        <w:rPr>
          <w:rFonts w:ascii="Times New Roman" w:cs="Times New Roman" w:eastAsia="Times New Roman" w:hAnsi="Times New Roman"/>
          <w:b/>
          <w:bCs/>
          <w:sz w:val="22"/>
          <w:szCs w:val="22"/>
        </w:rPr>
        <w:t xml:space="preserve">Updates.</w:t>
      </w:r>
      <w:r>
        <w:rPr>
          <w:rFonts w:ascii="Times New Roman" w:cs="Times New Roman" w:eastAsia="Times New Roman" w:hAnsi="Times New Roman"/>
          <w:sz w:val="22"/>
          <w:szCs w:val="22"/>
        </w:rPr>
        <w:t xml:space="preserve"> The Subscriber will promptly notify the General Partner if any representation in this Subscription Agreement ceases to be true.</w:t>
      </w:r>
    </w:p>
    <w:p>
      <w:pPr>
        <w:keepNext/>
        <w:spacing w:after="120" w:before="240"/>
      </w:pPr>
      <w:r>
        <w:rPr>
          <w:rFonts w:ascii="Times New Roman" w:cs="Times New Roman" w:eastAsia="Times New Roman" w:hAnsi="Times New Roman"/>
          <w:b/>
          <w:bCs/>
          <w:sz w:val="22"/>
          <w:szCs w:val="22"/>
        </w:rPr>
        <w:t xml:space="preserve">3. GENERAL</w:t>
      </w:r>
    </w:p>
    <w:p>
      <w:pPr>
        <w:tabs>
          <w:tab w:val="left" w:pos="720"/>
        </w:tabs>
        <w:spacing w:after="140" w:line="264"/>
        <w:ind w:left="720" w:hanging="720"/>
        <w:jc w:val="both"/>
      </w:pPr>
      <w:r>
        <w:rPr>
          <w:rFonts w:ascii="Times New Roman" w:cs="Times New Roman" w:eastAsia="Times New Roman" w:hAnsi="Times New Roman"/>
          <w:sz w:val="22"/>
          <w:szCs w:val="22"/>
        </w:rPr>
        <w:t xml:space="preserve">3.1	</w:t>
      </w:r>
      <w:r>
        <w:rPr>
          <w:rFonts w:ascii="Times New Roman" w:cs="Times New Roman" w:eastAsia="Times New Roman" w:hAnsi="Times New Roman"/>
          <w:b/>
          <w:bCs/>
          <w:sz w:val="22"/>
          <w:szCs w:val="22"/>
        </w:rPr>
        <w:t xml:space="preserve">Indemnity.</w:t>
      </w:r>
      <w:r>
        <w:rPr>
          <w:rFonts w:ascii="Times New Roman" w:cs="Times New Roman" w:eastAsia="Times New Roman" w:hAnsi="Times New Roman"/>
          <w:sz w:val="22"/>
          <w:szCs w:val="22"/>
        </w:rPr>
        <w:t xml:space="preserve"> The Subscriber shall indemnify the Partnership, the General Partner and their Affiliates against any loss arising from any inaccuracy in its representations or breach of this Subscription Agreement.</w:t>
      </w:r>
    </w:p>
    <w:p>
      <w:pPr>
        <w:tabs>
          <w:tab w:val="left" w:pos="720"/>
        </w:tabs>
        <w:spacing w:after="140" w:line="264"/>
        <w:ind w:left="720" w:hanging="720"/>
        <w:jc w:val="both"/>
      </w:pPr>
      <w:r>
        <w:rPr>
          <w:rFonts w:ascii="Times New Roman" w:cs="Times New Roman" w:eastAsia="Times New Roman" w:hAnsi="Times New Roman"/>
          <w:sz w:val="22"/>
          <w:szCs w:val="22"/>
        </w:rPr>
        <w:t xml:space="preserve">3.2	</w:t>
      </w:r>
      <w:r>
        <w:rPr>
          <w:rFonts w:ascii="Times New Roman" w:cs="Times New Roman" w:eastAsia="Times New Roman" w:hAnsi="Times New Roman"/>
          <w:b/>
          <w:bCs/>
          <w:sz w:val="22"/>
          <w:szCs w:val="22"/>
        </w:rPr>
        <w:t xml:space="preserve">Reliance; survival.</w:t>
      </w:r>
      <w:r>
        <w:rPr>
          <w:rFonts w:ascii="Times New Roman" w:cs="Times New Roman" w:eastAsia="Times New Roman" w:hAnsi="Times New Roman"/>
          <w:sz w:val="22"/>
          <w:szCs w:val="22"/>
        </w:rPr>
        <w:t xml:space="preserve"> The Partnership and the General Partner will rely on the representations in this Subscription Agreement in determining that the offering is exempt from registration. The representations survive the Subscriber's admission.</w:t>
      </w:r>
    </w:p>
    <w:p>
      <w:pPr>
        <w:tabs>
          <w:tab w:val="left" w:pos="720"/>
        </w:tabs>
        <w:spacing w:after="140" w:line="264"/>
        <w:ind w:left="720" w:hanging="720"/>
        <w:jc w:val="both"/>
      </w:pPr>
      <w:r>
        <w:rPr>
          <w:rFonts w:ascii="Times New Roman" w:cs="Times New Roman" w:eastAsia="Times New Roman" w:hAnsi="Times New Roman"/>
          <w:sz w:val="22"/>
          <w:szCs w:val="22"/>
        </w:rPr>
        <w:t xml:space="preserve">3.3	</w:t>
      </w:r>
      <w:r>
        <w:rPr>
          <w:rFonts w:ascii="Times New Roman" w:cs="Times New Roman" w:eastAsia="Times New Roman" w:hAnsi="Times New Roman"/>
          <w:b/>
          <w:bCs/>
          <w:sz w:val="22"/>
          <w:szCs w:val="22"/>
        </w:rPr>
        <w:t xml:space="preserve">Governing law; venue; jury waiver.</w:t>
      </w:r>
      <w:r>
        <w:rPr>
          <w:rFonts w:ascii="Times New Roman" w:cs="Times New Roman" w:eastAsia="Times New Roman" w:hAnsi="Times New Roman"/>
          <w:sz w:val="22"/>
          <w:szCs w:val="22"/>
        </w:rPr>
        <w:t xml:space="preserve"> This Subscription Agreement is governed by the laws of the State of Texas. The state and federal courts in Harris County, Texas have exclusive jurisdiction over any dispute under it. THE SUBSCRIBER WAIVES TRIAL BY JURY.</w:t>
      </w:r>
    </w:p>
    <w:p>
      <w:pPr>
        <w:tabs>
          <w:tab w:val="left" w:pos="720"/>
        </w:tabs>
        <w:spacing w:after="140" w:line="264"/>
        <w:ind w:left="720" w:hanging="720"/>
        <w:jc w:val="both"/>
      </w:pPr>
      <w:r>
        <w:rPr>
          <w:rFonts w:ascii="Times New Roman" w:cs="Times New Roman" w:eastAsia="Times New Roman" w:hAnsi="Times New Roman"/>
          <w:sz w:val="22"/>
          <w:szCs w:val="22"/>
        </w:rPr>
        <w:t xml:space="preserve">3.4	</w:t>
      </w:r>
      <w:r>
        <w:rPr>
          <w:rFonts w:ascii="Times New Roman" w:cs="Times New Roman" w:eastAsia="Times New Roman" w:hAnsi="Times New Roman"/>
          <w:b/>
          <w:bCs/>
          <w:sz w:val="22"/>
          <w:szCs w:val="22"/>
        </w:rPr>
        <w:t xml:space="preserve">Electronic delivery and signature.</w:t>
      </w:r>
      <w:r>
        <w:rPr>
          <w:rFonts w:ascii="Times New Roman" w:cs="Times New Roman" w:eastAsia="Times New Roman" w:hAnsi="Times New Roman"/>
          <w:sz w:val="22"/>
          <w:szCs w:val="22"/>
        </w:rPr>
        <w:t xml:space="preserve"> The Subscriber consents to receiving Capital Calls, reports, tax information and notices by electronic mail or investor portal at the address below. This Subscription Agreement may be signed electronically.</w:t>
      </w:r>
    </w:p>
    <w:p>
      <w:pPr>
        <w:tabs>
          <w:tab w:val="left" w:pos="720"/>
        </w:tabs>
        <w:spacing w:after="140" w:line="264"/>
        <w:ind w:left="720" w:hanging="720"/>
        <w:jc w:val="both"/>
      </w:pPr>
      <w:r>
        <w:rPr>
          <w:rFonts w:ascii="Times New Roman" w:cs="Times New Roman" w:eastAsia="Times New Roman" w:hAnsi="Times New Roman"/>
          <w:sz w:val="22"/>
          <w:szCs w:val="22"/>
        </w:rPr>
        <w:t xml:space="preserve">3.5	</w:t>
      </w:r>
      <w:r>
        <w:rPr>
          <w:rFonts w:ascii="Times New Roman" w:cs="Times New Roman" w:eastAsia="Times New Roman" w:hAnsi="Times New Roman"/>
          <w:b/>
          <w:bCs/>
          <w:sz w:val="22"/>
          <w:szCs w:val="22"/>
        </w:rPr>
        <w:t xml:space="preserve">Not assignable.</w:t>
      </w:r>
      <w:r>
        <w:rPr>
          <w:rFonts w:ascii="Times New Roman" w:cs="Times New Roman" w:eastAsia="Times New Roman" w:hAnsi="Times New Roman"/>
          <w:sz w:val="22"/>
          <w:szCs w:val="22"/>
        </w:rPr>
        <w:t xml:space="preserve"> The Subscriber may not assign this Subscription Agreement.</w:t>
      </w:r>
    </w:p>
    <w:p>
      <w:r>
        <w:br w:type="page"/>
      </w:r>
    </w:p>
    <w:p>
      <w:pPr>
        <w:spacing w:after="120"/>
        <w:jc w:val="center"/>
      </w:pPr>
      <w:r>
        <w:rPr>
          <w:rFonts w:ascii="Times New Roman" w:cs="Times New Roman" w:eastAsia="Times New Roman" w:hAnsi="Times New Roman"/>
          <w:b/>
          <w:bCs/>
          <w:sz w:val="28"/>
          <w:szCs w:val="28"/>
        </w:rPr>
        <w:t xml:space="preserve">SIGNATURE PAGE</w:t>
      </w:r>
    </w:p>
    <w:p>
      <w:pPr>
        <w:spacing w:after="240"/>
        <w:jc w:val="center"/>
      </w:pPr>
      <w:r>
        <w:rPr>
          <w:rFonts w:ascii="Times New Roman" w:cs="Times New Roman" w:eastAsia="Times New Roman" w:hAnsi="Times New Roman"/>
          <w:sz w:val="22"/>
          <w:szCs w:val="22"/>
        </w:rPr>
        <w:t xml:space="preserve">Subscription Agreement and counterpart signature page to the Agreement of Limited Partnership of First Meter Partners Fund I, LP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Mar>
              <w:top w:type="dxa" w:w="60"/>
              <w:left w:type="dxa" w:w="100"/>
              <w:bottom w:type="dxa" w:w="60"/>
              <w:right w:type="dxa" w:w="100"/>
            </w:tcMar>
          </w:tcPr>
          <w:p>
            <w:r>
              <w:rPr>
                <w:rFonts w:ascii="Times New Roman" w:cs="Times New Roman" w:eastAsia="Times New Roman" w:hAnsi="Times New Roman"/>
                <w:b/>
                <w:bCs/>
                <w:sz w:val="20"/>
                <w:szCs w:val="20"/>
              </w:rPr>
              <w:t xml:space="preserve">Item</w:t>
            </w:r>
          </w:p>
        </w:tc>
        <w:tc>
          <w:tcPr>
            <w:tcW w:type="dxa" w:w="6760"/>
            <w:tcMar>
              <w:top w:type="dxa" w:w="60"/>
              <w:left w:type="dxa" w:w="100"/>
              <w:bottom w:type="dxa" w:w="60"/>
              <w:right w:type="dxa" w:w="100"/>
            </w:tcMar>
          </w:tcPr>
          <w:p>
            <w:r>
              <w:rPr>
                <w:rFonts w:ascii="Times New Roman" w:cs="Times New Roman" w:eastAsia="Times New Roman" w:hAnsi="Times New Roman"/>
                <w:b/>
                <w:bCs/>
                <w:sz w:val="20"/>
                <w:szCs w:val="20"/>
              </w:rPr>
              <w:t xml:space="preserve">Subscriber to complete</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Capital Commitment</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$__________</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Legal name of Subscriber</w:t>
            </w:r>
          </w:p>
        </w:tc>
        <w:tc>
          <w:tcPr>
            <w:tcW w:type="dxa" w:w="6760"/>
            <w:tcMar>
              <w:top w:type="dxa" w:w="60"/>
              <w:left w:type="dxa" w:w="100"/>
              <w:bottom w:type="dxa" w:w="60"/>
              <w:right w:type="dxa" w:w="100"/>
            </w:tcMar>
          </w:tcP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Type of Subscriber (individual, joint, trust, LLC, corporation, partnership, IRA, other)</w:t>
            </w:r>
          </w:p>
        </w:tc>
        <w:tc>
          <w:tcPr>
            <w:tcW w:type="dxa" w:w="6760"/>
            <w:tcMar>
              <w:top w:type="dxa" w:w="60"/>
              <w:left w:type="dxa" w:w="100"/>
              <w:bottom w:type="dxa" w:w="60"/>
              <w:right w:type="dxa" w:w="100"/>
            </w:tcMar>
          </w:tcP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Taxpayer identification number</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Provided on Form W-9</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Mailing address</w:t>
            </w:r>
          </w:p>
        </w:tc>
        <w:tc>
          <w:tcPr>
            <w:tcW w:type="dxa" w:w="6760"/>
            <w:tcMar>
              <w:top w:type="dxa" w:w="60"/>
              <w:left w:type="dxa" w:w="100"/>
              <w:bottom w:type="dxa" w:w="60"/>
              <w:right w:type="dxa" w:w="100"/>
            </w:tcMar>
          </w:tcP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E-mail for notices, Capital Calls and reports</w:t>
            </w:r>
          </w:p>
        </w:tc>
        <w:tc>
          <w:tcPr>
            <w:tcW w:type="dxa" w:w="6760"/>
            <w:tcMar>
              <w:top w:type="dxa" w:w="60"/>
              <w:left w:type="dxa" w:w="100"/>
              <w:bottom w:type="dxa" w:w="60"/>
              <w:right w:type="dxa" w:w="100"/>
            </w:tcMar>
          </w:tcP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Phone</w:t>
            </w:r>
          </w:p>
        </w:tc>
        <w:tc>
          <w:tcPr>
            <w:tcW w:type="dxa" w:w="6760"/>
            <w:tcMar>
              <w:top w:type="dxa" w:w="60"/>
              <w:left w:type="dxa" w:w="100"/>
              <w:bottom w:type="dxa" w:w="60"/>
              <w:right w:type="dxa" w:w="100"/>
            </w:tcMar>
          </w:tcP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State of residence or formation</w:t>
            </w:r>
          </w:p>
        </w:tc>
        <w:tc>
          <w:tcPr>
            <w:tcW w:type="dxa" w:w="6760"/>
            <w:tcMar>
              <w:top w:type="dxa" w:w="60"/>
              <w:left w:type="dxa" w:w="100"/>
              <w:bottom w:type="dxa" w:w="60"/>
              <w:right w:type="dxa" w:w="100"/>
            </w:tcMar>
          </w:tcP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Wire instructions for distributions</w:t>
            </w:r>
          </w:p>
        </w:tc>
        <w:tc>
          <w:tcPr>
            <w:tcW w:type="dxa" w:w="6760"/>
            <w:tcMar>
              <w:top w:type="dxa" w:w="60"/>
              <w:left w:type="dxa" w:w="100"/>
              <w:bottom w:type="dxa" w:w="60"/>
              <w:right w:type="dxa" w:w="100"/>
            </w:tcMar>
          </w:tcP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Name as it should appear on Schedule A</w:t>
            </w:r>
          </w:p>
        </w:tc>
        <w:tc>
          <w:tcPr>
            <w:tcW w:type="dxa" w:w="6760"/>
            <w:tcMar>
              <w:top w:type="dxa" w:w="60"/>
              <w:left w:type="dxa" w:w="100"/>
              <w:bottom w:type="dxa" w:w="60"/>
              <w:right w:type="dxa" w:w="100"/>
            </w:tcMar>
          </w:tcPr>
          <w:p/>
        </w:tc>
      </w:tr>
    </w:tbl>
    <w:p>
      <w:pPr>
        <w:spacing w:after="120"/>
      </w:pPr>
    </w:p>
    <w:p>
      <w:pPr>
        <w:spacing w:after="140" w:line="264"/>
        <w:jc w:val="both"/>
      </w:pPr>
      <w:r>
        <w:rPr>
          <w:rFonts w:ascii="Times New Roman" w:cs="Times New Roman" w:eastAsia="Times New Roman" w:hAnsi="Times New Roman"/>
          <w:sz w:val="22"/>
          <w:szCs w:val="22"/>
        </w:rPr>
        <w:t xml:space="preserve">The Subscriber's e-mail address for notices is required and may not be left blank.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color="FFFFFF" w:sz="0"/>
              <w:left w:val="none" w:color="FFFFFF" w:sz="0"/>
              <w:bottom w:val="none" w:color="FFFFFF" w:sz="0"/>
              <w:right w:val="none" w:color="FFFFFF" w:sz="0"/>
            </w:tcBorders>
          </w:tcPr>
          <w:p>
            <w:pPr>
              <w:spacing w:after="160"/>
            </w:pPr>
            <w:r>
              <w:rPr>
                <w:rFonts w:ascii="Times New Roman" w:cs="Times New Roman" w:eastAsia="Times New Roman" w:hAnsi="Times New Roman"/>
                <w:b/>
                <w:bCs/>
                <w:sz w:val="22"/>
                <w:szCs w:val="22"/>
              </w:rPr>
              <w:t xml:space="preserve">SUBSCRIBER</w:t>
            </w:r>
          </w:p>
          <w:p>
            <w:pPr>
              <w:spacing w:after="160"/>
            </w:pPr>
            <w:r>
              <w:rPr>
                <w:rFonts w:ascii="Times New Roman" w:cs="Times New Roman" w:eastAsia="Times New Roman" w:hAnsi="Times New Roman"/>
                <w:sz w:val="22"/>
                <w:szCs w:val="22"/>
              </w:rPr>
              <w:t xml:space="preserve">______________________________</w:t>
            </w:r>
          </w:p>
          <w:p>
            <w:pPr>
              <w:spacing w:after="160"/>
            </w:pPr>
            <w:r>
              <w:rPr>
                <w:rFonts w:ascii="Times New Roman" w:cs="Times New Roman" w:eastAsia="Times New Roman" w:hAnsi="Times New Roman"/>
                <w:sz w:val="22"/>
                <w:szCs w:val="22"/>
              </w:rPr>
              <w:t xml:space="preserve">By: ______________________________</w:t>
            </w:r>
          </w:p>
          <w:p>
            <w:pPr>
              <w:spacing w:after="160"/>
            </w:pPr>
            <w:r>
              <w:rPr>
                <w:rFonts w:ascii="Times New Roman" w:cs="Times New Roman" w:eastAsia="Times New Roman" w:hAnsi="Times New Roman"/>
                <w:sz w:val="22"/>
                <w:szCs w:val="22"/>
              </w:rPr>
              <w:t xml:space="preserve">Name: ____________________________</w:t>
            </w:r>
          </w:p>
          <w:p>
            <w:pPr>
              <w:spacing w:after="160"/>
            </w:pPr>
            <w:r>
              <w:rPr>
                <w:rFonts w:ascii="Times New Roman" w:cs="Times New Roman" w:eastAsia="Times New Roman" w:hAnsi="Times New Roman"/>
                <w:sz w:val="22"/>
                <w:szCs w:val="22"/>
              </w:rPr>
              <w:t xml:space="preserve">Title (if entity): __________________</w:t>
            </w:r>
          </w:p>
          <w:p>
            <w:pPr>
              <w:spacing w:after="160"/>
            </w:pPr>
            <w:r>
              <w:rPr>
                <w:rFonts w:ascii="Times New Roman" w:cs="Times New Roman" w:eastAsia="Times New Roman" w:hAnsi="Times New Roman"/>
                <w:sz w:val="22"/>
                <w:szCs w:val="22"/>
              </w:rPr>
              <w:t xml:space="preserve">Date: _____________________________</w:t>
            </w:r>
          </w:p>
        </w:tc>
        <w:tc>
          <w:tcPr>
            <w:tcW w:type="dxa" w:w="4680"/>
            <w:tcBorders>
              <w:top w:val="none" w:color="FFFFFF" w:sz="0"/>
              <w:left w:val="none" w:color="FFFFFF" w:sz="0"/>
              <w:bottom w:val="none" w:color="FFFFFF" w:sz="0"/>
              <w:right w:val="none" w:color="FFFFFF" w:sz="0"/>
            </w:tcBorders>
          </w:tcPr>
          <w:p>
            <w:pPr>
              <w:spacing w:after="160"/>
            </w:pPr>
            <w:r>
              <w:rPr>
                <w:rFonts w:ascii="Times New Roman" w:cs="Times New Roman" w:eastAsia="Times New Roman" w:hAnsi="Times New Roman"/>
                <w:b/>
                <w:bCs/>
                <w:sz w:val="22"/>
                <w:szCs w:val="22"/>
              </w:rPr>
              <w:t xml:space="preserve">JOINT SUBSCRIBER (if any)</w:t>
            </w:r>
          </w:p>
          <w:p>
            <w:pPr>
              <w:spacing w:after="160"/>
            </w:pPr>
            <w:r>
              <w:rPr>
                <w:rFonts w:ascii="Times New Roman" w:cs="Times New Roman" w:eastAsia="Times New Roman" w:hAnsi="Times New Roman"/>
                <w:sz w:val="22"/>
                <w:szCs w:val="22"/>
              </w:rPr>
              <w:t xml:space="preserve">______________________________</w:t>
            </w:r>
          </w:p>
          <w:p>
            <w:pPr>
              <w:spacing w:after="160"/>
            </w:pPr>
            <w:r>
              <w:rPr>
                <w:rFonts w:ascii="Times New Roman" w:cs="Times New Roman" w:eastAsia="Times New Roman" w:hAnsi="Times New Roman"/>
                <w:sz w:val="22"/>
                <w:szCs w:val="22"/>
              </w:rPr>
              <w:t xml:space="preserve">Signature: _________________________</w:t>
            </w:r>
          </w:p>
          <w:p>
            <w:pPr>
              <w:spacing w:after="160"/>
            </w:pPr>
            <w:r>
              <w:rPr>
                <w:rFonts w:ascii="Times New Roman" w:cs="Times New Roman" w:eastAsia="Times New Roman" w:hAnsi="Times New Roman"/>
                <w:sz w:val="22"/>
                <w:szCs w:val="22"/>
              </w:rPr>
              <w:t xml:space="preserve">Name: ____________________________</w:t>
            </w:r>
          </w:p>
          <w:p>
            <w:pPr>
              <w:spacing w:after="160"/>
            </w:pPr>
            <w:r>
              <w:rPr>
                <w:rFonts w:ascii="Times New Roman" w:cs="Times New Roman" w:eastAsia="Times New Roman" w:hAnsi="Times New Roman"/>
                <w:sz w:val="22"/>
                <w:szCs w:val="22"/>
              </w:rPr>
              <w:t xml:space="preserve">Date: _____________________________</w:t>
            </w:r>
          </w:p>
        </w:tc>
      </w:tr>
    </w:tbl>
    <w:p>
      <w:pPr>
        <w:spacing w:after="140" w:line="264"/>
        <w:jc w:val="both"/>
      </w:pPr>
      <w:r>
        <w:rPr>
          <w:rFonts w:ascii="Times New Roman" w:cs="Times New Roman" w:eastAsia="Times New Roman" w:hAnsi="Times New Roman"/>
          <w:b/>
          <w:bCs/>
          <w:sz w:val="22"/>
          <w:szCs w:val="22"/>
        </w:rPr>
        <w:t xml:space="preserve">ACCEPTANCE</w:t>
      </w:r>
    </w:p>
    <w:p>
      <w:pPr>
        <w:spacing w:after="140" w:line="264"/>
        <w:jc w:val="both"/>
      </w:pPr>
      <w:r>
        <w:rPr>
          <w:rFonts w:ascii="Times New Roman" w:cs="Times New Roman" w:eastAsia="Times New Roman" w:hAnsi="Times New Roman"/>
          <w:sz w:val="22"/>
          <w:szCs w:val="22"/>
        </w:rPr>
        <w:t xml:space="preserve">The subscription above is accepted as to a Capital Commitment of $______________ as of ______________, 20___, and the Subscriber is admitted as a Limited Partner.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color="FFFFFF" w:sz="0"/>
              <w:left w:val="none" w:color="FFFFFF" w:sz="0"/>
              <w:bottom w:val="none" w:color="FFFFFF" w:sz="0"/>
              <w:right w:val="none" w:color="FFFFFF" w:sz="0"/>
            </w:tcBorders>
          </w:tcPr>
          <w:p>
            <w:pPr>
              <w:spacing w:after="160"/>
            </w:pPr>
            <w:r>
              <w:rPr>
                <w:rFonts w:ascii="Times New Roman" w:cs="Times New Roman" w:eastAsia="Times New Roman" w:hAnsi="Times New Roman"/>
                <w:sz w:val="22"/>
                <w:szCs w:val="22"/>
              </w:rPr>
              <w:t xml:space="preserve">First Meter Partners GP, LLC, as general partner of First Meter Partners Fund I, LP</w:t>
            </w:r>
          </w:p>
          <w:p>
            <w:pPr>
              <w:spacing w:after="160"/>
            </w:pPr>
          </w:p>
          <w:p>
            <w:pPr>
              <w:spacing w:after="160"/>
            </w:pPr>
            <w:r>
              <w:rPr>
                <w:rFonts w:ascii="Times New Roman" w:cs="Times New Roman" w:eastAsia="Times New Roman" w:hAnsi="Times New Roman"/>
                <w:sz w:val="22"/>
                <w:szCs w:val="22"/>
              </w:rPr>
              <w:t xml:space="preserve">By: ______________________________</w:t>
            </w:r>
          </w:p>
          <w:p>
            <w:pPr>
              <w:spacing w:after="160"/>
            </w:pPr>
            <w:r>
              <w:rPr>
                <w:rFonts w:ascii="Times New Roman" w:cs="Times New Roman" w:eastAsia="Times New Roman" w:hAnsi="Times New Roman"/>
                <w:sz w:val="22"/>
                <w:szCs w:val="22"/>
              </w:rPr>
              <w:t xml:space="preserve">Name: ____________________________</w:t>
            </w:r>
          </w:p>
          <w:p>
            <w:pPr>
              <w:spacing w:after="160"/>
            </w:pPr>
            <w:r>
              <w:rPr>
                <w:rFonts w:ascii="Times New Roman" w:cs="Times New Roman" w:eastAsia="Times New Roman" w:hAnsi="Times New Roman"/>
                <w:sz w:val="22"/>
                <w:szCs w:val="22"/>
              </w:rPr>
              <w:t xml:space="preserve">Title: _____________________________</w:t>
            </w:r>
          </w:p>
        </w:tc>
        <w:tc>
          <w:tcPr>
            <w:tcW w:type="dxa" w:w="4680"/>
            <w:tcBorders>
              <w:top w:val="none" w:color="FFFFFF" w:sz="0"/>
              <w:left w:val="none" w:color="FFFFFF" w:sz="0"/>
              <w:bottom w:val="none" w:color="FFFFFF" w:sz="0"/>
              <w:right w:val="none" w:color="FFFFFF" w:sz="0"/>
            </w:tcBorders>
          </w:tcPr>
          <w:p>
            <w:pPr>
              <w:spacing w:after="160"/>
            </w:pPr>
          </w:p>
        </w:tc>
      </w:tr>
    </w:tbl>
    <w:p>
      <w:r>
        <w:br w:type="page"/>
      </w:r>
    </w:p>
    <w:p>
      <w:pPr>
        <w:spacing w:after="120"/>
        <w:jc w:val="center"/>
      </w:pPr>
      <w:r>
        <w:rPr>
          <w:rFonts w:ascii="Times New Roman" w:cs="Times New Roman" w:eastAsia="Times New Roman" w:hAnsi="Times New Roman"/>
          <w:b/>
          <w:bCs/>
          <w:sz w:val="28"/>
          <w:szCs w:val="28"/>
        </w:rPr>
        <w:t xml:space="preserve">EXHIBIT A</w:t>
      </w:r>
    </w:p>
    <w:p>
      <w:pPr>
        <w:spacing w:after="240"/>
        <w:jc w:val="center"/>
      </w:pPr>
      <w:r>
        <w:rPr>
          <w:rFonts w:ascii="Times New Roman" w:cs="Times New Roman" w:eastAsia="Times New Roman" w:hAnsi="Times New Roman"/>
          <w:sz w:val="22"/>
          <w:szCs w:val="22"/>
        </w:rPr>
        <w:t xml:space="preserve">INVESTOR QUESTIONNAIRE</w:t>
      </w:r>
    </w:p>
    <w:p>
      <w:pPr>
        <w:keepNext/>
        <w:spacing w:after="120" w:before="240"/>
      </w:pPr>
      <w:r>
        <w:rPr>
          <w:rFonts w:ascii="Times New Roman" w:cs="Times New Roman" w:eastAsia="Times New Roman" w:hAnsi="Times New Roman"/>
          <w:b/>
          <w:bCs/>
          <w:sz w:val="22"/>
          <w:szCs w:val="22"/>
        </w:rPr>
        <w:t xml:space="preserve">Part 1. Accredited investor status (check every box that applies)</w:t>
      </w:r>
    </w:p>
    <w:p>
      <w:pPr>
        <w:spacing w:after="140" w:line="264"/>
        <w:jc w:val="both"/>
      </w:pPr>
      <w:r>
        <w:rPr>
          <w:rFonts w:ascii="Times New Roman" w:cs="Times New Roman" w:eastAsia="Times New Roman" w:hAnsi="Times New Roman"/>
          <w:b/>
          <w:bCs/>
          <w:sz w:val="22"/>
          <w:szCs w:val="22"/>
        </w:rPr>
        <w:t xml:space="preserve">Individuals</w:t>
      </w:r>
    </w:p>
    <w:p>
      <w:pPr>
        <w:tabs>
          <w:tab w:val="left" w:pos="1080"/>
        </w:tabs>
        <w:spacing w:after="100" w:line="264"/>
        <w:ind w:left="1080" w:hanging="360"/>
        <w:jc w:val="both"/>
      </w:pPr>
      <w:r>
        <w:rPr>
          <w:rFonts w:ascii="Times New Roman" w:cs="Times New Roman" w:eastAsia="Times New Roman" w:hAnsi="Times New Roman"/>
          <w:sz w:val="22"/>
          <w:szCs w:val="22"/>
        </w:rPr>
        <w:t xml:space="preserve">☐	Net worth, alone or with a spouse or spousal equivalent, exceeds $1,000,000, excluding the value of the primary residence (and excluding debt secured by it up to its fair market value, except any increase in that debt in the prior 60 days).</w:t>
      </w:r>
    </w:p>
    <w:p>
      <w:pPr>
        <w:tabs>
          <w:tab w:val="left" w:pos="1080"/>
        </w:tabs>
        <w:spacing w:after="100" w:line="264"/>
        <w:ind w:left="1080" w:hanging="360"/>
        <w:jc w:val="both"/>
      </w:pPr>
      <w:r>
        <w:rPr>
          <w:rFonts w:ascii="Times New Roman" w:cs="Times New Roman" w:eastAsia="Times New Roman" w:hAnsi="Times New Roman"/>
          <w:sz w:val="22"/>
          <w:szCs w:val="22"/>
        </w:rPr>
        <w:t xml:space="preserve">☐	Individual income exceeded $200,000 in each of the two most recent years, or joint income with a spouse or spousal equivalent exceeded $300,000 in each of those years, and the same level is reasonably expected this year.</w:t>
      </w:r>
    </w:p>
    <w:p>
      <w:pPr>
        <w:tabs>
          <w:tab w:val="left" w:pos="1080"/>
        </w:tabs>
        <w:spacing w:after="100" w:line="264"/>
        <w:ind w:left="1080" w:hanging="360"/>
        <w:jc w:val="both"/>
      </w:pPr>
      <w:r>
        <w:rPr>
          <w:rFonts w:ascii="Times New Roman" w:cs="Times New Roman" w:eastAsia="Times New Roman" w:hAnsi="Times New Roman"/>
          <w:sz w:val="22"/>
          <w:szCs w:val="22"/>
        </w:rPr>
        <w:t xml:space="preserve">☐	Holds in good standing a Series 7, Series 65 or Series 82 license.</w:t>
      </w:r>
    </w:p>
    <w:p>
      <w:pPr>
        <w:tabs>
          <w:tab w:val="left" w:pos="1080"/>
        </w:tabs>
        <w:spacing w:after="100" w:line="264"/>
        <w:ind w:left="1080" w:hanging="360"/>
        <w:jc w:val="both"/>
      </w:pPr>
      <w:r>
        <w:rPr>
          <w:rFonts w:ascii="Times New Roman" w:cs="Times New Roman" w:eastAsia="Times New Roman" w:hAnsi="Times New Roman"/>
          <w:sz w:val="22"/>
          <w:szCs w:val="22"/>
        </w:rPr>
        <w:t xml:space="preserve">☐	Is a director, executive officer or general partner of the General Partner, or a knowledgeable employee of the Partnership.</w:t>
      </w:r>
    </w:p>
    <w:p>
      <w:pPr>
        <w:spacing w:after="140" w:line="264"/>
        <w:jc w:val="both"/>
      </w:pPr>
      <w:r>
        <w:rPr>
          <w:rFonts w:ascii="Times New Roman" w:cs="Times New Roman" w:eastAsia="Times New Roman" w:hAnsi="Times New Roman"/>
          <w:b/>
          <w:bCs/>
          <w:sz w:val="22"/>
          <w:szCs w:val="22"/>
        </w:rPr>
        <w:t xml:space="preserve">Entities</w:t>
      </w:r>
    </w:p>
    <w:p>
      <w:pPr>
        <w:tabs>
          <w:tab w:val="left" w:pos="1080"/>
        </w:tabs>
        <w:spacing w:after="100" w:line="264"/>
        <w:ind w:left="1080" w:hanging="360"/>
        <w:jc w:val="both"/>
      </w:pPr>
      <w:r>
        <w:rPr>
          <w:rFonts w:ascii="Times New Roman" w:cs="Times New Roman" w:eastAsia="Times New Roman" w:hAnsi="Times New Roman"/>
          <w:sz w:val="22"/>
          <w:szCs w:val="22"/>
        </w:rPr>
        <w:t xml:space="preserve">☐	Entity not formed for the specific purpose of acquiring the interest, with total assets or investments exceeding $5,000,000 (corporation, partnership, LLC, business trust, or 501(c)(3) organization).</w:t>
      </w:r>
    </w:p>
    <w:p>
      <w:pPr>
        <w:tabs>
          <w:tab w:val="left" w:pos="1080"/>
        </w:tabs>
        <w:spacing w:after="100" w:line="264"/>
        <w:ind w:left="1080" w:hanging="360"/>
        <w:jc w:val="both"/>
      </w:pPr>
      <w:r>
        <w:rPr>
          <w:rFonts w:ascii="Times New Roman" w:cs="Times New Roman" w:eastAsia="Times New Roman" w:hAnsi="Times New Roman"/>
          <w:sz w:val="22"/>
          <w:szCs w:val="22"/>
        </w:rPr>
        <w:t xml:space="preserve">☐	Trust with total assets exceeding $5,000,000, not formed for the specific purpose of acquiring the interest, directed by a sophisticated person.</w:t>
      </w:r>
    </w:p>
    <w:p>
      <w:pPr>
        <w:tabs>
          <w:tab w:val="left" w:pos="1080"/>
        </w:tabs>
        <w:spacing w:after="100" w:line="264"/>
        <w:ind w:left="1080" w:hanging="360"/>
        <w:jc w:val="both"/>
      </w:pPr>
      <w:r>
        <w:rPr>
          <w:rFonts w:ascii="Times New Roman" w:cs="Times New Roman" w:eastAsia="Times New Roman" w:hAnsi="Times New Roman"/>
          <w:sz w:val="22"/>
          <w:szCs w:val="22"/>
        </w:rPr>
        <w:t xml:space="preserve">☐	Revocable trust, IRA or self-directed plan whose grantor or beneficiary making the investment decision is an accredited investor.</w:t>
      </w:r>
    </w:p>
    <w:p>
      <w:pPr>
        <w:tabs>
          <w:tab w:val="left" w:pos="1080"/>
        </w:tabs>
        <w:spacing w:after="100" w:line="264"/>
        <w:ind w:left="1080" w:hanging="360"/>
        <w:jc w:val="both"/>
      </w:pPr>
      <w:r>
        <w:rPr>
          <w:rFonts w:ascii="Times New Roman" w:cs="Times New Roman" w:eastAsia="Times New Roman" w:hAnsi="Times New Roman"/>
          <w:sz w:val="22"/>
          <w:szCs w:val="22"/>
        </w:rPr>
        <w:t xml:space="preserve">☐	Bank, registered broker-dealer, registered or exempt reporting investment adviser, insurance company, or other institution described in Rule 501(a)(1).</w:t>
      </w:r>
    </w:p>
    <w:p>
      <w:pPr>
        <w:tabs>
          <w:tab w:val="left" w:pos="1080"/>
        </w:tabs>
        <w:spacing w:after="100" w:line="264"/>
        <w:ind w:left="1080" w:hanging="360"/>
        <w:jc w:val="both"/>
      </w:pPr>
      <w:r>
        <w:rPr>
          <w:rFonts w:ascii="Times New Roman" w:cs="Times New Roman" w:eastAsia="Times New Roman" w:hAnsi="Times New Roman"/>
          <w:sz w:val="22"/>
          <w:szCs w:val="22"/>
        </w:rPr>
        <w:t xml:space="preserve">☐	Family office with assets under management exceeding $5,000,000, or its family client.</w:t>
      </w:r>
    </w:p>
    <w:p>
      <w:pPr>
        <w:tabs>
          <w:tab w:val="left" w:pos="1080"/>
        </w:tabs>
        <w:spacing w:after="100" w:line="264"/>
        <w:ind w:left="1080" w:hanging="360"/>
        <w:jc w:val="both"/>
      </w:pPr>
      <w:r>
        <w:rPr>
          <w:rFonts w:ascii="Times New Roman" w:cs="Times New Roman" w:eastAsia="Times New Roman" w:hAnsi="Times New Roman"/>
          <w:sz w:val="22"/>
          <w:szCs w:val="22"/>
        </w:rPr>
        <w:t xml:space="preserve">☐	Entity in which all of the equity owners are accredited investors. (Each owner must complete this questionnaire.)</w:t>
      </w:r>
    </w:p>
    <w:p>
      <w:pPr>
        <w:keepNext/>
        <w:spacing w:after="120" w:before="240"/>
      </w:pPr>
      <w:r>
        <w:rPr>
          <w:rFonts w:ascii="Times New Roman" w:cs="Times New Roman" w:eastAsia="Times New Roman" w:hAnsi="Times New Roman"/>
          <w:b/>
          <w:bCs/>
          <w:sz w:val="22"/>
          <w:szCs w:val="22"/>
        </w:rPr>
        <w:t xml:space="preserve">Part 2. Other status</w:t>
      </w:r>
    </w:p>
    <w:p>
      <w:pPr>
        <w:tabs>
          <w:tab w:val="left" w:pos="1080"/>
        </w:tabs>
        <w:spacing w:after="100" w:line="264"/>
        <w:ind w:left="1080" w:hanging="360"/>
        <w:jc w:val="both"/>
      </w:pPr>
      <w:r>
        <w:rPr>
          <w:rFonts w:ascii="Times New Roman" w:cs="Times New Roman" w:eastAsia="Times New Roman" w:hAnsi="Times New Roman"/>
          <w:sz w:val="22"/>
          <w:szCs w:val="22"/>
        </w:rPr>
        <w:t xml:space="preserve">☐	The Subscriber is a benefit plan investor under ERISA, or is using the assets of one. Percentage of its assets that are plan assets: ______%</w:t>
      </w:r>
    </w:p>
    <w:p>
      <w:pPr>
        <w:tabs>
          <w:tab w:val="left" w:pos="1080"/>
        </w:tabs>
        <w:spacing w:after="100" w:line="264"/>
        <w:ind w:left="1080" w:hanging="360"/>
        <w:jc w:val="both"/>
      </w:pPr>
      <w:r>
        <w:rPr>
          <w:rFonts w:ascii="Times New Roman" w:cs="Times New Roman" w:eastAsia="Times New Roman" w:hAnsi="Times New Roman"/>
          <w:sz w:val="22"/>
          <w:szCs w:val="22"/>
        </w:rPr>
        <w:t xml:space="preserve">☐	The Subscriber is an entity relying on Section 3(c)(1) or 3(c)(7) of the Investment Company Act. Number of beneficial owners: ______</w:t>
      </w:r>
    </w:p>
    <w:p>
      <w:pPr>
        <w:tabs>
          <w:tab w:val="left" w:pos="1080"/>
        </w:tabs>
        <w:spacing w:after="100" w:line="264"/>
        <w:ind w:left="1080" w:hanging="360"/>
        <w:jc w:val="both"/>
      </w:pPr>
      <w:r>
        <w:rPr>
          <w:rFonts w:ascii="Times New Roman" w:cs="Times New Roman" w:eastAsia="Times New Roman" w:hAnsi="Times New Roman"/>
          <w:sz w:val="22"/>
          <w:szCs w:val="22"/>
        </w:rPr>
        <w:t xml:space="preserve">☐	The Subscriber is a foreign person for United States tax purposes.</w:t>
      </w:r>
    </w:p>
    <w:p>
      <w:pPr>
        <w:keepNext/>
        <w:spacing w:after="120" w:before="240"/>
      </w:pPr>
      <w:r>
        <w:rPr>
          <w:rFonts w:ascii="Times New Roman" w:cs="Times New Roman" w:eastAsia="Times New Roman" w:hAnsi="Times New Roman"/>
          <w:b/>
          <w:bCs/>
          <w:sz w:val="22"/>
          <w:szCs w:val="22"/>
        </w:rPr>
        <w:t xml:space="preserve">Part 3. Verification method (Rule 506(c))</w:t>
      </w:r>
    </w:p>
    <w:p>
      <w:pPr>
        <w:tabs>
          <w:tab w:val="left" w:pos="1080"/>
        </w:tabs>
        <w:spacing w:after="100" w:line="264"/>
        <w:ind w:left="1080" w:hanging="360"/>
        <w:jc w:val="both"/>
      </w:pPr>
      <w:r>
        <w:rPr>
          <w:rFonts w:ascii="Times New Roman" w:cs="Times New Roman" w:eastAsia="Times New Roman" w:hAnsi="Times New Roman"/>
          <w:sz w:val="22"/>
          <w:szCs w:val="22"/>
        </w:rPr>
        <w:t xml:space="preserve">☐	Written confirmation from a CPA, attorney, registered investment adviser or broker-dealer, in the form of Exhibit B, dated within 90 days.</w:t>
      </w:r>
    </w:p>
    <w:p>
      <w:pPr>
        <w:tabs>
          <w:tab w:val="left" w:pos="1080"/>
        </w:tabs>
        <w:spacing w:after="100" w:line="264"/>
        <w:ind w:left="1080" w:hanging="360"/>
        <w:jc w:val="both"/>
      </w:pPr>
      <w:r>
        <w:rPr>
          <w:rFonts w:ascii="Times New Roman" w:cs="Times New Roman" w:eastAsia="Times New Roman" w:hAnsi="Times New Roman"/>
          <w:sz w:val="22"/>
          <w:szCs w:val="22"/>
        </w:rPr>
        <w:t xml:space="preserve">☐	Income documents (IRS forms for the two most recent years) and a written statement of expected current-year income.</w:t>
      </w:r>
    </w:p>
    <w:p>
      <w:pPr>
        <w:tabs>
          <w:tab w:val="left" w:pos="1080"/>
        </w:tabs>
        <w:spacing w:after="100" w:line="264"/>
        <w:ind w:left="1080" w:hanging="360"/>
        <w:jc w:val="both"/>
      </w:pPr>
      <w:r>
        <w:rPr>
          <w:rFonts w:ascii="Times New Roman" w:cs="Times New Roman" w:eastAsia="Times New Roman" w:hAnsi="Times New Roman"/>
          <w:sz w:val="22"/>
          <w:szCs w:val="22"/>
        </w:rPr>
        <w:t xml:space="preserve">☐	Net worth documents (bank, brokerage and other statements and a credit report dated within 90 days) and a written statement of liabilities.</w:t>
      </w:r>
    </w:p>
    <w:p>
      <w:pPr>
        <w:tabs>
          <w:tab w:val="left" w:pos="1080"/>
        </w:tabs>
        <w:spacing w:after="100" w:line="264"/>
        <w:ind w:left="1080" w:hanging="360"/>
        <w:jc w:val="both"/>
      </w:pPr>
      <w:r>
        <w:rPr>
          <w:rFonts w:ascii="Times New Roman" w:cs="Times New Roman" w:eastAsia="Times New Roman" w:hAnsi="Times New Roman"/>
          <w:sz w:val="22"/>
          <w:szCs w:val="22"/>
        </w:rPr>
        <w:t xml:space="preserve">☐	Existing accredited investor in a prior offering by the General Partner verified within the last five years, with a new written certification.</w:t>
      </w:r>
    </w:p>
    <w:p>
      <w:pPr>
        <w:spacing w:after="140" w:line="264"/>
        <w:jc w:val="both"/>
      </w:pPr>
      <w:r>
        <w:rPr>
          <w:rFonts w:ascii="Times New Roman" w:cs="Times New Roman" w:eastAsia="Times New Roman" w:hAnsi="Times New Roman"/>
          <w:sz w:val="22"/>
          <w:szCs w:val="22"/>
        </w:rPr>
        <w:t xml:space="preserve">Subscriber initials: ________</w:t>
      </w:r>
    </w:p>
    <w:p>
      <w:r>
        <w:br w:type="page"/>
      </w:r>
    </w:p>
    <w:p>
      <w:pPr>
        <w:spacing w:after="120"/>
        <w:jc w:val="center"/>
      </w:pPr>
      <w:r>
        <w:rPr>
          <w:rFonts w:ascii="Times New Roman" w:cs="Times New Roman" w:eastAsia="Times New Roman" w:hAnsi="Times New Roman"/>
          <w:b/>
          <w:bCs/>
          <w:sz w:val="28"/>
          <w:szCs w:val="28"/>
        </w:rPr>
        <w:t xml:space="preserve">EXHIBIT B</w:t>
      </w:r>
    </w:p>
    <w:p>
      <w:pPr>
        <w:spacing w:after="240"/>
        <w:jc w:val="center"/>
      </w:pPr>
      <w:r>
        <w:rPr>
          <w:rFonts w:ascii="Times New Roman" w:cs="Times New Roman" w:eastAsia="Times New Roman" w:hAnsi="Times New Roman"/>
          <w:sz w:val="22"/>
          <w:szCs w:val="22"/>
        </w:rPr>
        <w:t xml:space="preserve">FORM OF ACCREDITED INVESTOR VERIFICATION LETTER</w:t>
      </w:r>
    </w:p>
    <w:p>
      <w:pPr>
        <w:spacing w:after="140" w:line="264"/>
        <w:jc w:val="both"/>
      </w:pPr>
      <w:r>
        <w:rPr>
          <w:rFonts w:ascii="Times New Roman" w:cs="Times New Roman" w:eastAsia="Times New Roman" w:hAnsi="Times New Roman"/>
          <w:sz w:val="22"/>
          <w:szCs w:val="22"/>
        </w:rPr>
        <w:t xml:space="preserve">[Letterhead of CPA, attorney, registered investment adviser or registered broker-dealer]</w:t>
      </w:r>
    </w:p>
    <w:p>
      <w:pPr>
        <w:spacing w:after="140" w:line="264"/>
        <w:jc w:val="both"/>
      </w:pPr>
      <w:r>
        <w:rPr>
          <w:rFonts w:ascii="Times New Roman" w:cs="Times New Roman" w:eastAsia="Times New Roman" w:hAnsi="Times New Roman"/>
          <w:sz w:val="22"/>
          <w:szCs w:val="22"/>
        </w:rPr>
        <w:t xml:space="preserve">Date: ______________</w:t>
      </w:r>
    </w:p>
    <w:p>
      <w:pPr>
        <w:spacing w:after="140" w:line="264"/>
        <w:jc w:val="both"/>
      </w:pPr>
      <w:r>
        <w:rPr>
          <w:rFonts w:ascii="Times New Roman" w:cs="Times New Roman" w:eastAsia="Times New Roman" w:hAnsi="Times New Roman"/>
          <w:sz w:val="22"/>
          <w:szCs w:val="22"/>
        </w:rPr>
        <w:t xml:space="preserve">To: First Meter Partners GP, LLC, as general partner of First Meter Partners Fund I, LP</w:t>
      </w:r>
    </w:p>
    <w:p>
      <w:pPr>
        <w:spacing w:after="140" w:line="264"/>
        <w:jc w:val="both"/>
      </w:pPr>
      <w:r>
        <w:rPr>
          <w:rFonts w:ascii="Times New Roman" w:cs="Times New Roman" w:eastAsia="Times New Roman" w:hAnsi="Times New Roman"/>
          <w:sz w:val="22"/>
          <w:szCs w:val="22"/>
        </w:rPr>
        <w:t xml:space="preserve">Re: ______________________________ (the "Investor")</w:t>
      </w:r>
    </w:p>
    <w:p>
      <w:pPr>
        <w:spacing w:after="140" w:line="264"/>
        <w:jc w:val="both"/>
      </w:pPr>
      <w:r>
        <w:rPr>
          <w:rFonts w:ascii="Times New Roman" w:cs="Times New Roman" w:eastAsia="Times New Roman" w:hAnsi="Times New Roman"/>
          <w:sz w:val="22"/>
          <w:szCs w:val="22"/>
        </w:rPr>
        <w:t xml:space="preserve">I have taken reasonable steps within the past ninety (90) days to verify that the Investor is an "accredited investor" as defined in Rule 501(a) of Regulation D under the Securities Act of 1933, on the basis of [ ] income  [ ] net worth  [ ] entity assets  [ ] other: ____________, and I have determined that the Investor is an accredited investor as of the date of this letter. You may rely on this letter in connection with the Investor's subscription.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Pr>
        <w:tc>
          <w:tcPr>
            <w:tcW w:type="dxa" w:w="4680"/>
            <w:tcBorders>
              <w:top w:val="none" w:color="FFFFFF" w:sz="0"/>
              <w:left w:val="none" w:color="FFFFFF" w:sz="0"/>
              <w:bottom w:val="none" w:color="FFFFFF" w:sz="0"/>
              <w:right w:val="none" w:color="FFFFFF" w:sz="0"/>
            </w:tcBorders>
          </w:tcPr>
          <w:p>
            <w:pPr>
              <w:spacing w:after="160"/>
            </w:pPr>
            <w:r>
              <w:rPr>
                <w:rFonts w:ascii="Times New Roman" w:cs="Times New Roman" w:eastAsia="Times New Roman" w:hAnsi="Times New Roman"/>
                <w:sz w:val="22"/>
                <w:szCs w:val="22"/>
              </w:rPr>
              <w:t xml:space="preserve">Signature: ______________________________</w:t>
            </w:r>
          </w:p>
          <w:p>
            <w:pPr>
              <w:spacing w:after="160"/>
            </w:pPr>
            <w:r>
              <w:rPr>
                <w:rFonts w:ascii="Times New Roman" w:cs="Times New Roman" w:eastAsia="Times New Roman" w:hAnsi="Times New Roman"/>
                <w:sz w:val="22"/>
                <w:szCs w:val="22"/>
              </w:rPr>
              <w:t xml:space="preserve">Name: ____________________________</w:t>
            </w:r>
          </w:p>
          <w:p>
            <w:pPr>
              <w:spacing w:after="160"/>
            </w:pPr>
            <w:r>
              <w:rPr>
                <w:rFonts w:ascii="Times New Roman" w:cs="Times New Roman" w:eastAsia="Times New Roman" w:hAnsi="Times New Roman"/>
                <w:sz w:val="22"/>
                <w:szCs w:val="22"/>
              </w:rPr>
              <w:t xml:space="preserve">Firm: _____________________________</w:t>
            </w:r>
          </w:p>
          <w:p>
            <w:pPr>
              <w:spacing w:after="160"/>
            </w:pPr>
            <w:r>
              <w:rPr>
                <w:rFonts w:ascii="Times New Roman" w:cs="Times New Roman" w:eastAsia="Times New Roman" w:hAnsi="Times New Roman"/>
                <w:sz w:val="22"/>
                <w:szCs w:val="22"/>
              </w:rPr>
              <w:t xml:space="preserve">License or registration number and jurisdiction: ______________</w:t>
            </w:r>
          </w:p>
        </w:tc>
        <w:tc>
          <w:tcPr>
            <w:tcW w:type="dxa" w:w="4680"/>
            <w:tcBorders>
              <w:top w:val="none" w:color="FFFFFF" w:sz="0"/>
              <w:left w:val="none" w:color="FFFFFF" w:sz="0"/>
              <w:bottom w:val="none" w:color="FFFFFF" w:sz="0"/>
              <w:right w:val="none" w:color="FFFFFF" w:sz="0"/>
            </w:tcBorders>
          </w:tcPr>
          <w:p>
            <w:pPr>
              <w:spacing w:after="160"/>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t xml:space="preserve">First Meter Partners Fund I, LP - Subscription Agreement   |   Page </w:t>
    </w: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2026-09-16T20:45:20.365Z</dcterms:created>
  <dcterms:modified xsi:type="dcterms:W3CDTF">2026-09-16T20:45:20.365Z</dcterms:modified>
</cp:coreProperties>
</file>

<file path=docProps/custom.xml><?xml version="1.0" encoding="utf-8"?>
<Properties xmlns="http://schemas.openxmlformats.org/officeDocument/2006/custom-properties" xmlns:vt="http://schemas.openxmlformats.org/officeDocument/2006/docPropsVTypes"/>
</file>